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B1" w:rsidRPr="00F20AB1" w:rsidRDefault="00F20AB1" w:rsidP="00F20AB1">
      <w:pPr>
        <w:spacing w:after="0"/>
        <w:rPr>
          <w:rFonts w:ascii="Calibri" w:eastAsia="Times New Roman" w:hAnsi="Calibri" w:cs="Calibri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992"/>
        <w:gridCol w:w="8376"/>
      </w:tblGrid>
      <w:tr w:rsidR="00F20AB1" w:rsidRPr="00F20AB1" w:rsidTr="00BD5B44">
        <w:tc>
          <w:tcPr>
            <w:tcW w:w="1992" w:type="dxa"/>
          </w:tcPr>
          <w:p w:rsidR="00F20AB1" w:rsidRPr="00F20AB1" w:rsidRDefault="00F20AB1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  <w:r w:rsidRPr="00F20AB1">
              <w:rPr>
                <w:rFonts w:ascii="Calibri" w:eastAsia="Times New Roman" w:hAnsi="Calibri" w:cs="Calibri"/>
              </w:rPr>
              <w:t xml:space="preserve">Assignment: </w:t>
            </w:r>
          </w:p>
        </w:tc>
        <w:tc>
          <w:tcPr>
            <w:tcW w:w="8376" w:type="dxa"/>
          </w:tcPr>
          <w:p w:rsidR="00F20AB1" w:rsidRPr="00F20AB1" w:rsidRDefault="00BD37A3" w:rsidP="00E02502">
            <w:pPr>
              <w:spacing w:after="0"/>
              <w:ind w:right="63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Science in the Media</w:t>
            </w:r>
          </w:p>
          <w:p w:rsidR="00F20AB1" w:rsidRPr="00F20AB1" w:rsidRDefault="00F20AB1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</w:p>
        </w:tc>
      </w:tr>
      <w:tr w:rsidR="00F20AB1" w:rsidRPr="00F20AB1" w:rsidTr="00BD5B44">
        <w:trPr>
          <w:trHeight w:val="1345"/>
        </w:trPr>
        <w:tc>
          <w:tcPr>
            <w:tcW w:w="1992" w:type="dxa"/>
          </w:tcPr>
          <w:p w:rsidR="00F20AB1" w:rsidRPr="00F20AB1" w:rsidRDefault="00F20AB1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  <w:r w:rsidRPr="00F20AB1">
              <w:rPr>
                <w:rFonts w:ascii="Calibri" w:eastAsia="Times New Roman" w:hAnsi="Calibri" w:cs="Calibri"/>
              </w:rPr>
              <w:t>Description:</w:t>
            </w:r>
          </w:p>
        </w:tc>
        <w:tc>
          <w:tcPr>
            <w:tcW w:w="8376" w:type="dxa"/>
          </w:tcPr>
          <w:p w:rsidR="00F20AB1" w:rsidRDefault="00BD37A3" w:rsidP="00BD37A3">
            <w:pPr>
              <w:ind w:right="630"/>
            </w:pPr>
            <w:r>
              <w:t xml:space="preserve">Working in small groups, students will find a magazine, newspaper or internet article (i.e., lay article) that refers to scientific findings (i.e., primary literature). This article does not need to be on a topic directly related to course content (e.g., it can be about cancer research). </w:t>
            </w:r>
          </w:p>
          <w:p w:rsidR="00BD37A3" w:rsidRDefault="00BD37A3" w:rsidP="00BD37A3">
            <w:pPr>
              <w:ind w:right="630"/>
            </w:pPr>
            <w:r>
              <w:t xml:space="preserve">Next, locate the primary literature that was referenced in the lay article. </w:t>
            </w:r>
          </w:p>
          <w:p w:rsidR="00BD37A3" w:rsidRDefault="00BD37A3" w:rsidP="00BD37A3">
            <w:pPr>
              <w:ind w:right="630"/>
            </w:pPr>
            <w:r>
              <w:t>Then, prepare a 10-minute presentation that:</w:t>
            </w:r>
          </w:p>
          <w:p w:rsidR="00BD37A3" w:rsidRDefault="00BD37A3" w:rsidP="00BD37A3">
            <w:pPr>
              <w:pStyle w:val="ListParagraph"/>
              <w:numPr>
                <w:ilvl w:val="0"/>
                <w:numId w:val="1"/>
              </w:numPr>
              <w:ind w:right="630"/>
            </w:pPr>
            <w:r>
              <w:t>Summarizes what the lay article presented, and notes the source of the article</w:t>
            </w:r>
            <w:r w:rsidR="009C3CDC">
              <w:t>.</w:t>
            </w:r>
          </w:p>
          <w:p w:rsidR="00BD37A3" w:rsidRDefault="00BD37A3" w:rsidP="00BD37A3">
            <w:pPr>
              <w:pStyle w:val="ListParagraph"/>
              <w:numPr>
                <w:ilvl w:val="0"/>
                <w:numId w:val="1"/>
              </w:numPr>
              <w:ind w:right="630"/>
            </w:pPr>
            <w:r>
              <w:t>Summarizes what the primary literature reported, and notes the source of that article.</w:t>
            </w:r>
          </w:p>
          <w:p w:rsidR="00BD37A3" w:rsidRDefault="00BD37A3" w:rsidP="00BD37A3">
            <w:pPr>
              <w:pStyle w:val="ListParagraph"/>
              <w:numPr>
                <w:ilvl w:val="0"/>
                <w:numId w:val="1"/>
              </w:numPr>
              <w:ind w:right="630"/>
            </w:pPr>
            <w:r>
              <w:t>States if the lay article was accurate in representing the findings presented in the primary literature.</w:t>
            </w:r>
          </w:p>
          <w:p w:rsidR="00BD37A3" w:rsidRDefault="00BD37A3" w:rsidP="00BD37A3">
            <w:pPr>
              <w:pStyle w:val="ListParagraph"/>
              <w:numPr>
                <w:ilvl w:val="0"/>
                <w:numId w:val="1"/>
              </w:numPr>
              <w:ind w:right="630"/>
            </w:pPr>
            <w:r>
              <w:t>Explains why you think the lay article accurately or inaccurately portrayed the findings of the primary literature.</w:t>
            </w:r>
          </w:p>
          <w:p w:rsidR="00BD37A3" w:rsidRDefault="00BD37A3" w:rsidP="00BD37A3">
            <w:pPr>
              <w:ind w:right="630"/>
            </w:pPr>
            <w:r>
              <w:t xml:space="preserve">Your presentation should be </w:t>
            </w:r>
            <w:r w:rsidR="000475EE">
              <w:t>visually supported by a PowerPoint presentation</w:t>
            </w:r>
            <w:r>
              <w:t xml:space="preserve">. </w:t>
            </w:r>
          </w:p>
          <w:p w:rsidR="00AC5A09" w:rsidRDefault="00BD37A3" w:rsidP="000475EE">
            <w:pPr>
              <w:ind w:right="630"/>
            </w:pPr>
            <w:r>
              <w:t>Please provide the Professor with copies of</w:t>
            </w:r>
            <w:r w:rsidR="00AC5A09">
              <w:t xml:space="preserve"> the lay article, </w:t>
            </w:r>
            <w:r>
              <w:t>the primary literature article</w:t>
            </w:r>
            <w:r w:rsidR="00AC5A09">
              <w:t xml:space="preserve"> and your PowerPoint file</w:t>
            </w:r>
            <w:r>
              <w:t xml:space="preserve">. </w:t>
            </w:r>
            <w:r w:rsidR="00AC5A09">
              <w:t xml:space="preserve">Your PowerPoint file should be named using group member names (e.g., Pat &amp; Dana). </w:t>
            </w:r>
          </w:p>
          <w:p w:rsidR="000475EE" w:rsidRDefault="000475EE" w:rsidP="000475EE">
            <w:pPr>
              <w:ind w:right="630"/>
            </w:pPr>
            <w:r>
              <w:t xml:space="preserve">Your files </w:t>
            </w:r>
            <w:r w:rsidR="00530C70">
              <w:t xml:space="preserve">are to </w:t>
            </w:r>
            <w:r w:rsidR="00BD37A3">
              <w:t xml:space="preserve">be submitted </w:t>
            </w:r>
            <w:r>
              <w:t xml:space="preserve">as attachments to an email </w:t>
            </w:r>
            <w:r w:rsidR="00173504">
              <w:t xml:space="preserve">by 7pm </w:t>
            </w:r>
            <w:r w:rsidR="00530C70">
              <w:t xml:space="preserve">the day </w:t>
            </w:r>
            <w:r w:rsidR="00BD37A3">
              <w:t xml:space="preserve">prior to </w:t>
            </w:r>
            <w:r w:rsidR="00425E0D">
              <w:t xml:space="preserve">the </w:t>
            </w:r>
            <w:r w:rsidR="00BD37A3">
              <w:t>class</w:t>
            </w:r>
            <w:r w:rsidR="00425E0D">
              <w:t xml:space="preserve"> in which they will be presented</w:t>
            </w:r>
            <w:r w:rsidR="00BD37A3">
              <w:t>.</w:t>
            </w:r>
            <w:r>
              <w:t xml:space="preserve"> </w:t>
            </w:r>
          </w:p>
          <w:p w:rsidR="00BD37A3" w:rsidRPr="00BD37A3" w:rsidRDefault="000475EE" w:rsidP="00AC5A09">
            <w:pPr>
              <w:ind w:right="630"/>
              <w:rPr>
                <w:rFonts w:ascii="Calibri" w:eastAsia="Times New Roman" w:hAnsi="Calibri" w:cs="Calibri"/>
              </w:rPr>
            </w:pPr>
            <w:r>
              <w:t xml:space="preserve">Please note that if you use Google slides to create your presentation file, you will need to download it and save it as a PowerPoint file in order to submit the file via email. </w:t>
            </w:r>
            <w:r w:rsidR="00AC5A09">
              <w:t>After you download and before you submit, i</w:t>
            </w:r>
            <w:r>
              <w:t xml:space="preserve">t is important to test your file to make sure that the formatting has been maintained.  </w:t>
            </w:r>
            <w:r w:rsidR="00BD37A3">
              <w:t xml:space="preserve"> </w:t>
            </w:r>
            <w:r>
              <w:t xml:space="preserve">  </w:t>
            </w:r>
          </w:p>
        </w:tc>
      </w:tr>
      <w:tr w:rsidR="00F20AB1" w:rsidRPr="00F20AB1" w:rsidTr="00BD5B44">
        <w:tc>
          <w:tcPr>
            <w:tcW w:w="1992" w:type="dxa"/>
          </w:tcPr>
          <w:p w:rsidR="00F20AB1" w:rsidRPr="00F20AB1" w:rsidRDefault="00F20AB1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  <w:r w:rsidRPr="00F20AB1">
              <w:rPr>
                <w:rFonts w:ascii="Calibri" w:eastAsia="Times New Roman" w:hAnsi="Calibri" w:cs="Calibri"/>
              </w:rPr>
              <w:t>Purpose of  this activity:</w:t>
            </w:r>
          </w:p>
          <w:p w:rsidR="00F20AB1" w:rsidRPr="00F20AB1" w:rsidRDefault="00F20AB1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</w:p>
        </w:tc>
        <w:tc>
          <w:tcPr>
            <w:tcW w:w="8376" w:type="dxa"/>
          </w:tcPr>
          <w:p w:rsidR="006064F0" w:rsidRDefault="00023124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This activity addresses three</w:t>
            </w:r>
            <w:r w:rsidR="00F20AB1" w:rsidRPr="002A4864">
              <w:rPr>
                <w:rFonts w:ascii="Calibri" w:eastAsia="Times New Roman" w:hAnsi="Calibri" w:cs="Calibri"/>
              </w:rPr>
              <w:t xml:space="preserve"> learning outcome</w:t>
            </w:r>
            <w:r w:rsidR="00416629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>:</w:t>
            </w:r>
            <w:r w:rsidR="006064F0">
              <w:rPr>
                <w:rFonts w:ascii="Calibri" w:eastAsia="Times New Roman" w:hAnsi="Calibri" w:cs="Calibri"/>
              </w:rPr>
              <w:t xml:space="preserve"> Students will</w:t>
            </w:r>
            <w:r>
              <w:rPr>
                <w:rFonts w:ascii="Calibri" w:eastAsia="Times New Roman" w:hAnsi="Calibri" w:cs="Calibri"/>
              </w:rPr>
              <w:t>…</w:t>
            </w:r>
            <w:r w:rsidR="006064F0">
              <w:rPr>
                <w:rFonts w:ascii="Calibri" w:eastAsia="Times New Roman" w:hAnsi="Calibri" w:cs="Calibri"/>
              </w:rPr>
              <w:t xml:space="preserve"> </w:t>
            </w:r>
          </w:p>
          <w:p w:rsidR="006064F0" w:rsidRDefault="006064F0" w:rsidP="006064F0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 w:rsidR="00BD37A3" w:rsidRPr="006064F0">
              <w:rPr>
                <w:rFonts w:ascii="Calibri" w:eastAsia="Times New Roman" w:hAnsi="Calibri" w:cs="Calibri"/>
              </w:rPr>
              <w:t>iscriminate between scholarly and popular modes of knowledge through an understanding of the peer review process</w:t>
            </w:r>
            <w:r w:rsidR="00F379AC">
              <w:rPr>
                <w:rFonts w:ascii="Calibri" w:eastAsia="Times New Roman" w:hAnsi="Calibri" w:cs="Calibri"/>
              </w:rPr>
              <w:t>.</w:t>
            </w:r>
            <w:r w:rsidR="00416629" w:rsidRPr="006064F0">
              <w:rPr>
                <w:rFonts w:ascii="Calibri" w:eastAsia="Times New Roman" w:hAnsi="Calibri" w:cs="Calibri"/>
              </w:rPr>
              <w:t xml:space="preserve"> </w:t>
            </w:r>
          </w:p>
          <w:p w:rsidR="006064F0" w:rsidRDefault="006064F0" w:rsidP="006064F0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</w:t>
            </w:r>
            <w:r w:rsidR="00416629" w:rsidRPr="006064F0">
              <w:rPr>
                <w:rFonts w:ascii="Calibri" w:eastAsia="Times New Roman" w:hAnsi="Calibri" w:cs="Calibri"/>
              </w:rPr>
              <w:t>ngage critically and reflectively in scholarly discourse</w:t>
            </w:r>
            <w:r w:rsidR="00F379AC">
              <w:rPr>
                <w:rFonts w:ascii="Calibri" w:eastAsia="Times New Roman" w:hAnsi="Calibri" w:cs="Calibri"/>
              </w:rPr>
              <w:t>.</w:t>
            </w:r>
            <w:r w:rsidR="00416629" w:rsidRPr="006064F0">
              <w:rPr>
                <w:rFonts w:ascii="Calibri" w:eastAsia="Times New Roman" w:hAnsi="Calibri" w:cs="Calibri"/>
              </w:rPr>
              <w:t xml:space="preserve"> </w:t>
            </w:r>
          </w:p>
          <w:p w:rsidR="00F20AB1" w:rsidRPr="006064F0" w:rsidRDefault="006064F0" w:rsidP="006064F0">
            <w:pPr>
              <w:pStyle w:val="ListParagraph"/>
              <w:numPr>
                <w:ilvl w:val="0"/>
                <w:numId w:val="2"/>
              </w:numPr>
              <w:spacing w:after="0"/>
              <w:ind w:right="63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</w:t>
            </w:r>
            <w:r w:rsidR="00416629" w:rsidRPr="006064F0">
              <w:rPr>
                <w:rFonts w:ascii="Calibri" w:eastAsia="Times New Roman" w:hAnsi="Calibri" w:cs="Calibri"/>
              </w:rPr>
              <w:t xml:space="preserve">xercise critical thinking in oral discussion and writing. </w:t>
            </w:r>
          </w:p>
          <w:p w:rsidR="00F20AB1" w:rsidRPr="00F20AB1" w:rsidRDefault="00F20AB1" w:rsidP="00E02502">
            <w:pPr>
              <w:spacing w:after="0"/>
              <w:ind w:right="630"/>
              <w:rPr>
                <w:rFonts w:ascii="Calibri" w:eastAsia="Times New Roman" w:hAnsi="Calibri" w:cs="Calibri"/>
              </w:rPr>
            </w:pPr>
          </w:p>
        </w:tc>
      </w:tr>
    </w:tbl>
    <w:p w:rsidR="001054F1" w:rsidRDefault="001054F1" w:rsidP="00E02502">
      <w:pPr>
        <w:spacing w:after="0"/>
        <w:ind w:right="630"/>
        <w:rPr>
          <w:rFonts w:ascii="Calibri" w:eastAsia="Times New Roman" w:hAnsi="Calibri" w:cs="Calibri"/>
        </w:rPr>
      </w:pPr>
    </w:p>
    <w:p w:rsidR="0046016B" w:rsidRDefault="0046016B" w:rsidP="001054F1">
      <w:pPr>
        <w:spacing w:after="0"/>
        <w:rPr>
          <w:rFonts w:ascii="Calibri" w:eastAsia="Times New Roman" w:hAnsi="Calibri" w:cs="Calibri"/>
          <w:sz w:val="20"/>
          <w:szCs w:val="20"/>
        </w:rPr>
        <w:sectPr w:rsidR="0046016B" w:rsidSect="001054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54F1" w:rsidRPr="00C35DF9" w:rsidRDefault="00BD5B44" w:rsidP="001054F1">
      <w:pPr>
        <w:spacing w:after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 xml:space="preserve"> </w:t>
      </w:r>
      <w:bookmarkStart w:id="0" w:name="_GoBack"/>
      <w:bookmarkEnd w:id="0"/>
    </w:p>
    <w:p w:rsidR="001054F1" w:rsidRPr="000D0A7A" w:rsidRDefault="001054F1" w:rsidP="001054F1">
      <w:pPr>
        <w:spacing w:after="0"/>
        <w:ind w:right="630"/>
        <w:rPr>
          <w:rFonts w:ascii="Calibri" w:eastAsia="Times New Roman" w:hAnsi="Calibri" w:cs="Calibri"/>
          <w:sz w:val="10"/>
          <w:szCs w:val="20"/>
        </w:rPr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3116"/>
        <w:gridCol w:w="2914"/>
        <w:gridCol w:w="3109"/>
        <w:gridCol w:w="3011"/>
      </w:tblGrid>
      <w:tr w:rsidR="002C2E0C" w:rsidRPr="009C3CDC" w:rsidTr="00F43B0C">
        <w:tc>
          <w:tcPr>
            <w:tcW w:w="1530" w:type="dxa"/>
            <w:vAlign w:val="bottom"/>
          </w:tcPr>
          <w:p w:rsidR="009C24E3" w:rsidRPr="009C3CDC" w:rsidRDefault="00E02502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br w:type="page"/>
            </w:r>
            <w:r w:rsidR="009C24E3" w:rsidRPr="009C3CDC">
              <w:rPr>
                <w:rFonts w:cstheme="minorHAnsi"/>
                <w:b/>
                <w:sz w:val="18"/>
                <w:szCs w:val="20"/>
              </w:rPr>
              <w:t>Element</w:t>
            </w:r>
          </w:p>
        </w:tc>
        <w:tc>
          <w:tcPr>
            <w:tcW w:w="810" w:type="dxa"/>
            <w:vAlign w:val="bottom"/>
          </w:tcPr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Points</w:t>
            </w:r>
          </w:p>
        </w:tc>
        <w:tc>
          <w:tcPr>
            <w:tcW w:w="3116" w:type="dxa"/>
            <w:vAlign w:val="bottom"/>
          </w:tcPr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Excellent</w:t>
            </w:r>
          </w:p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(90 – 100%)</w:t>
            </w:r>
          </w:p>
        </w:tc>
        <w:tc>
          <w:tcPr>
            <w:tcW w:w="2914" w:type="dxa"/>
            <w:vAlign w:val="bottom"/>
          </w:tcPr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Above Average</w:t>
            </w:r>
          </w:p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(80 – 89%)</w:t>
            </w:r>
          </w:p>
        </w:tc>
        <w:tc>
          <w:tcPr>
            <w:tcW w:w="3109" w:type="dxa"/>
            <w:vAlign w:val="bottom"/>
          </w:tcPr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Average</w:t>
            </w:r>
          </w:p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(70 – 79%)</w:t>
            </w:r>
          </w:p>
        </w:tc>
        <w:tc>
          <w:tcPr>
            <w:tcW w:w="3011" w:type="dxa"/>
            <w:vAlign w:val="bottom"/>
          </w:tcPr>
          <w:p w:rsidR="009C24E3" w:rsidRPr="009C3CDC" w:rsidRDefault="009C24E3" w:rsidP="007B688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Below Average</w:t>
            </w:r>
          </w:p>
          <w:p w:rsidR="009C24E3" w:rsidRPr="009C3CDC" w:rsidRDefault="009C24E3" w:rsidP="000A7EB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3CDC">
              <w:rPr>
                <w:rFonts w:cstheme="minorHAnsi"/>
                <w:b/>
                <w:sz w:val="18"/>
                <w:szCs w:val="20"/>
              </w:rPr>
              <w:t>(60 – 69%)</w:t>
            </w:r>
          </w:p>
        </w:tc>
      </w:tr>
      <w:tr w:rsidR="00D338A7" w:rsidRPr="009C3CDC" w:rsidTr="00197733">
        <w:tc>
          <w:tcPr>
            <w:tcW w:w="14490" w:type="dxa"/>
            <w:gridSpan w:val="6"/>
          </w:tcPr>
          <w:p w:rsidR="00D338A7" w:rsidRPr="009C3CDC" w:rsidRDefault="00D338A7" w:rsidP="001054F1">
            <w:pPr>
              <w:rPr>
                <w:rFonts w:cstheme="minorHAnsi"/>
                <w:b/>
                <w:i/>
                <w:sz w:val="18"/>
                <w:szCs w:val="20"/>
              </w:rPr>
            </w:pPr>
            <w:r w:rsidRPr="009C3CDC">
              <w:rPr>
                <w:rFonts w:cstheme="minorHAnsi"/>
                <w:b/>
                <w:i/>
                <w:sz w:val="18"/>
                <w:szCs w:val="20"/>
              </w:rPr>
              <w:t xml:space="preserve">Group components: </w:t>
            </w:r>
          </w:p>
        </w:tc>
      </w:tr>
      <w:tr w:rsidR="002C2E0C" w:rsidRPr="009C3CDC" w:rsidTr="00F43B0C">
        <w:tc>
          <w:tcPr>
            <w:tcW w:w="1530" w:type="dxa"/>
          </w:tcPr>
          <w:p w:rsidR="009C24E3" w:rsidRPr="009C3CDC" w:rsidRDefault="007D313C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Lay article</w:t>
            </w:r>
          </w:p>
        </w:tc>
        <w:tc>
          <w:tcPr>
            <w:tcW w:w="810" w:type="dxa"/>
          </w:tcPr>
          <w:p w:rsidR="009C24E3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9C24E3" w:rsidRPr="009C3CDC" w:rsidRDefault="00F43B0C" w:rsidP="0046016B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Clear and correct summary of the lay article’s report of the research finding.</w:t>
            </w:r>
          </w:p>
        </w:tc>
        <w:tc>
          <w:tcPr>
            <w:tcW w:w="2914" w:type="dxa"/>
          </w:tcPr>
          <w:p w:rsidR="009C24E3" w:rsidRPr="009C3CDC" w:rsidRDefault="00A6635A" w:rsidP="00E05B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Correct</w:t>
            </w:r>
            <w:r w:rsidRPr="009C3CDC">
              <w:rPr>
                <w:rFonts w:cstheme="minorHAnsi"/>
                <w:sz w:val="18"/>
                <w:szCs w:val="20"/>
              </w:rPr>
              <w:t xml:space="preserve"> summary of the lay article’s report of the research finding.</w:t>
            </w:r>
          </w:p>
        </w:tc>
        <w:tc>
          <w:tcPr>
            <w:tcW w:w="3109" w:type="dxa"/>
          </w:tcPr>
          <w:p w:rsidR="009C24E3" w:rsidRPr="009C3CDC" w:rsidRDefault="00A6635A" w:rsidP="002C2E0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With few exceptions the summary of the lay article’s report is correct.</w:t>
            </w:r>
          </w:p>
        </w:tc>
        <w:tc>
          <w:tcPr>
            <w:tcW w:w="3011" w:type="dxa"/>
          </w:tcPr>
          <w:p w:rsidR="009C24E3" w:rsidRPr="009C3CDC" w:rsidRDefault="00164460" w:rsidP="001054F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Major errors in the summary of the lay article’s report. </w:t>
            </w:r>
          </w:p>
        </w:tc>
      </w:tr>
      <w:tr w:rsidR="002C2E0C" w:rsidRPr="009C3CDC" w:rsidTr="00F43B0C">
        <w:tc>
          <w:tcPr>
            <w:tcW w:w="1530" w:type="dxa"/>
          </w:tcPr>
          <w:p w:rsidR="009C24E3" w:rsidRPr="009C3CDC" w:rsidRDefault="007D313C" w:rsidP="003A2FD2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Primary literature</w:t>
            </w:r>
          </w:p>
        </w:tc>
        <w:tc>
          <w:tcPr>
            <w:tcW w:w="810" w:type="dxa"/>
          </w:tcPr>
          <w:p w:rsidR="009C24E3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9C24E3" w:rsidRPr="009C3CDC" w:rsidRDefault="00F43B0C" w:rsidP="00F43B0C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Clear and correct summary of the primary literature’s findings.</w:t>
            </w:r>
          </w:p>
        </w:tc>
        <w:tc>
          <w:tcPr>
            <w:tcW w:w="2914" w:type="dxa"/>
          </w:tcPr>
          <w:p w:rsidR="009C24E3" w:rsidRPr="009C3CDC" w:rsidRDefault="00164460" w:rsidP="00E05B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Correct summary of the primary literature’s findings.</w:t>
            </w:r>
          </w:p>
        </w:tc>
        <w:tc>
          <w:tcPr>
            <w:tcW w:w="3109" w:type="dxa"/>
          </w:tcPr>
          <w:p w:rsidR="009C24E3" w:rsidRPr="009C3CDC" w:rsidRDefault="00164460" w:rsidP="003D058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With few exceptions the summary of the primary literature is correct.</w:t>
            </w:r>
          </w:p>
        </w:tc>
        <w:tc>
          <w:tcPr>
            <w:tcW w:w="3011" w:type="dxa"/>
          </w:tcPr>
          <w:p w:rsidR="009C24E3" w:rsidRPr="009C3CDC" w:rsidRDefault="00164460" w:rsidP="003D058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Major errors in the summary of the primary literature.</w:t>
            </w:r>
          </w:p>
        </w:tc>
      </w:tr>
      <w:tr w:rsidR="002C2E0C" w:rsidRPr="009C3CDC" w:rsidTr="00F43B0C">
        <w:tc>
          <w:tcPr>
            <w:tcW w:w="1530" w:type="dxa"/>
          </w:tcPr>
          <w:p w:rsidR="00E05B5F" w:rsidRPr="009C3CDC" w:rsidRDefault="007D313C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Accuracy</w:t>
            </w:r>
          </w:p>
        </w:tc>
        <w:tc>
          <w:tcPr>
            <w:tcW w:w="810" w:type="dxa"/>
          </w:tcPr>
          <w:p w:rsidR="00E05B5F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E05B5F" w:rsidRPr="009C3CDC" w:rsidRDefault="00F43B0C" w:rsidP="00A0711E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Clear</w:t>
            </w:r>
            <w:r w:rsidR="00A0711E">
              <w:rPr>
                <w:rFonts w:cstheme="minorHAnsi"/>
                <w:sz w:val="18"/>
                <w:szCs w:val="20"/>
              </w:rPr>
              <w:t>ly</w:t>
            </w:r>
            <w:r w:rsidR="00C81228">
              <w:rPr>
                <w:rFonts w:cstheme="minorHAnsi"/>
                <w:sz w:val="18"/>
                <w:szCs w:val="20"/>
              </w:rPr>
              <w:t>, correctly</w:t>
            </w:r>
            <w:r w:rsidR="00A0711E">
              <w:rPr>
                <w:rFonts w:cstheme="minorHAnsi"/>
                <w:sz w:val="18"/>
                <w:szCs w:val="20"/>
              </w:rPr>
              <w:t xml:space="preserve"> explains how the </w:t>
            </w:r>
            <w:r w:rsidR="00530C70">
              <w:rPr>
                <w:rFonts w:cstheme="minorHAnsi"/>
                <w:sz w:val="18"/>
                <w:szCs w:val="20"/>
              </w:rPr>
              <w:t xml:space="preserve">lay article </w:t>
            </w:r>
            <w:r w:rsidR="00A0711E">
              <w:rPr>
                <w:rFonts w:cstheme="minorHAnsi"/>
                <w:sz w:val="18"/>
                <w:szCs w:val="20"/>
              </w:rPr>
              <w:t>was accurate and/or inaccurate</w:t>
            </w:r>
            <w:r w:rsidRPr="009C3CDC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2914" w:type="dxa"/>
          </w:tcPr>
          <w:p w:rsidR="00E05B5F" w:rsidRPr="009C3CDC" w:rsidRDefault="00530C70" w:rsidP="00530C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Correctly explains how the lay article was accurate and/or inaccurate.</w:t>
            </w:r>
          </w:p>
        </w:tc>
        <w:tc>
          <w:tcPr>
            <w:tcW w:w="3109" w:type="dxa"/>
          </w:tcPr>
          <w:p w:rsidR="00E05B5F" w:rsidRPr="009C3CDC" w:rsidRDefault="00530C70" w:rsidP="00530C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With few exceptions the explanation of the lay article’s accuracy is correct.</w:t>
            </w:r>
          </w:p>
        </w:tc>
        <w:tc>
          <w:tcPr>
            <w:tcW w:w="3011" w:type="dxa"/>
          </w:tcPr>
          <w:p w:rsidR="00E05B5F" w:rsidRPr="009C3CDC" w:rsidRDefault="00530C70" w:rsidP="001054F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Major errors in the explanation of the lay article’s accuracy.</w:t>
            </w:r>
          </w:p>
        </w:tc>
      </w:tr>
      <w:tr w:rsidR="002C2E0C" w:rsidRPr="009C3CDC" w:rsidTr="00F43B0C">
        <w:tc>
          <w:tcPr>
            <w:tcW w:w="1530" w:type="dxa"/>
          </w:tcPr>
          <w:p w:rsidR="00E05B5F" w:rsidRPr="009C3CDC" w:rsidRDefault="007D313C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 xml:space="preserve">Explanation </w:t>
            </w:r>
          </w:p>
        </w:tc>
        <w:tc>
          <w:tcPr>
            <w:tcW w:w="810" w:type="dxa"/>
          </w:tcPr>
          <w:p w:rsidR="00E05B5F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E05B5F" w:rsidRPr="009C3CDC" w:rsidRDefault="00F43B0C" w:rsidP="00D543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9C3CDC">
              <w:rPr>
                <w:rFonts w:asciiTheme="minorHAnsi" w:hAnsiTheme="minorHAnsi" w:cstheme="minorHAnsi"/>
                <w:sz w:val="18"/>
                <w:szCs w:val="20"/>
              </w:rPr>
              <w:t xml:space="preserve">Clear, logical explanation of </w:t>
            </w:r>
            <w:r w:rsidR="00D5439F">
              <w:rPr>
                <w:rFonts w:asciiTheme="minorHAnsi" w:hAnsiTheme="minorHAnsi" w:cstheme="minorHAnsi"/>
                <w:sz w:val="18"/>
                <w:szCs w:val="20"/>
              </w:rPr>
              <w:t>why the group believes the lay article is</w:t>
            </w:r>
            <w:r w:rsidR="00173504">
              <w:rPr>
                <w:rFonts w:asciiTheme="minorHAnsi" w:hAnsiTheme="minorHAnsi" w:cstheme="minorHAnsi"/>
                <w:sz w:val="18"/>
                <w:szCs w:val="20"/>
              </w:rPr>
              <w:t xml:space="preserve"> accurate</w:t>
            </w:r>
            <w:r w:rsidRPr="009C3CD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5439F">
              <w:rPr>
                <w:rFonts w:asciiTheme="minorHAnsi" w:hAnsiTheme="minorHAnsi" w:cstheme="minorHAnsi"/>
                <w:sz w:val="18"/>
                <w:szCs w:val="20"/>
              </w:rPr>
              <w:t>and/</w:t>
            </w:r>
            <w:r w:rsidR="00173504">
              <w:rPr>
                <w:rFonts w:asciiTheme="minorHAnsi" w:hAnsiTheme="minorHAnsi" w:cstheme="minorHAnsi"/>
                <w:sz w:val="18"/>
                <w:szCs w:val="20"/>
              </w:rPr>
              <w:t>or inaccurate</w:t>
            </w:r>
            <w:r w:rsidRPr="009C3CDC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914" w:type="dxa"/>
          </w:tcPr>
          <w:p w:rsidR="00E05B5F" w:rsidRPr="009C3CDC" w:rsidRDefault="002878EF" w:rsidP="00C35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Logical explanation of why the group believes the lay article is accurate and/or inaccurate.</w:t>
            </w:r>
          </w:p>
        </w:tc>
        <w:tc>
          <w:tcPr>
            <w:tcW w:w="3109" w:type="dxa"/>
          </w:tcPr>
          <w:p w:rsidR="00E05B5F" w:rsidRPr="009C3CDC" w:rsidRDefault="002878EF" w:rsidP="00287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With few exceptions the explanation of why the lay article is accurate or inaccurate is logical. </w:t>
            </w:r>
          </w:p>
        </w:tc>
        <w:tc>
          <w:tcPr>
            <w:tcW w:w="3011" w:type="dxa"/>
          </w:tcPr>
          <w:p w:rsidR="00E05B5F" w:rsidRPr="009C3CDC" w:rsidRDefault="002878EF" w:rsidP="00287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Explanation of why the article is accurate or inaccurate is largely illogical.</w:t>
            </w:r>
          </w:p>
        </w:tc>
      </w:tr>
      <w:tr w:rsidR="00902F73" w:rsidRPr="009C3CDC" w:rsidTr="00F43B0C">
        <w:tc>
          <w:tcPr>
            <w:tcW w:w="1530" w:type="dxa"/>
          </w:tcPr>
          <w:p w:rsidR="00902F73" w:rsidRPr="009C3CDC" w:rsidRDefault="00902F73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Organization</w:t>
            </w:r>
          </w:p>
        </w:tc>
        <w:tc>
          <w:tcPr>
            <w:tcW w:w="810" w:type="dxa"/>
          </w:tcPr>
          <w:p w:rsidR="00902F73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 xml:space="preserve">Organizational pattern is clearly and consistently observable, is skillful and makes the content of the presentation cohesive.  </w:t>
            </w:r>
          </w:p>
        </w:tc>
        <w:tc>
          <w:tcPr>
            <w:tcW w:w="2914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 xml:space="preserve">Organizational pattern is clearly and consistently observable within the presentation. </w:t>
            </w:r>
          </w:p>
        </w:tc>
        <w:tc>
          <w:tcPr>
            <w:tcW w:w="3109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 xml:space="preserve">Organizational pattern is intermittently observable within the presentation. </w:t>
            </w:r>
          </w:p>
        </w:tc>
        <w:tc>
          <w:tcPr>
            <w:tcW w:w="3011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 xml:space="preserve">Organizational pattern is not observable within the presentation. </w:t>
            </w:r>
          </w:p>
        </w:tc>
      </w:tr>
      <w:tr w:rsidR="00902F73" w:rsidRPr="009C3CDC" w:rsidTr="00F43B0C">
        <w:tc>
          <w:tcPr>
            <w:tcW w:w="1530" w:type="dxa"/>
          </w:tcPr>
          <w:p w:rsidR="00902F73" w:rsidRPr="009C3CDC" w:rsidRDefault="00902F73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Collaboration</w:t>
            </w:r>
          </w:p>
        </w:tc>
        <w:tc>
          <w:tcPr>
            <w:tcW w:w="810" w:type="dxa"/>
          </w:tcPr>
          <w:p w:rsidR="00902F73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902F73" w:rsidRPr="009C3CDC" w:rsidRDefault="00902F73" w:rsidP="001053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The teammates always worked from others’ ideas. It was evident that all of the group members contributed equally to the presentation.</w:t>
            </w:r>
          </w:p>
        </w:tc>
        <w:tc>
          <w:tcPr>
            <w:tcW w:w="2914" w:type="dxa"/>
          </w:tcPr>
          <w:p w:rsidR="00902F73" w:rsidRPr="009C3CDC" w:rsidRDefault="00902F73" w:rsidP="001053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The teammates worked from others’ ideas most of the time. And it seems like everyone did some work, but some people are carrying the presentation.</w:t>
            </w:r>
          </w:p>
        </w:tc>
        <w:tc>
          <w:tcPr>
            <w:tcW w:w="3109" w:type="dxa"/>
          </w:tcPr>
          <w:p w:rsidR="00902F73" w:rsidRPr="009C3CDC" w:rsidRDefault="00902F73" w:rsidP="00A663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The teammates sometimes worked from others’ ideas.</w:t>
            </w:r>
            <w:r w:rsidR="00A6635A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9C3CDC">
              <w:rPr>
                <w:rFonts w:ascii="Calibri" w:hAnsi="Calibri" w:cs="Calibri"/>
                <w:sz w:val="18"/>
                <w:szCs w:val="20"/>
              </w:rPr>
              <w:t>It seems as though certain people did not do as much work as others.</w:t>
            </w:r>
          </w:p>
        </w:tc>
        <w:tc>
          <w:tcPr>
            <w:tcW w:w="3011" w:type="dxa"/>
          </w:tcPr>
          <w:p w:rsidR="00902F73" w:rsidRPr="009C3CDC" w:rsidRDefault="00902F73" w:rsidP="00A663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 xml:space="preserve">The teammates never worked from others’ ideas. It seems as though only </w:t>
            </w:r>
            <w:r w:rsidR="00A6635A">
              <w:rPr>
                <w:rFonts w:ascii="Calibri" w:hAnsi="Calibri" w:cs="Calibri"/>
                <w:sz w:val="18"/>
                <w:szCs w:val="20"/>
              </w:rPr>
              <w:t xml:space="preserve">one person </w:t>
            </w:r>
            <w:r w:rsidRPr="009C3CDC">
              <w:rPr>
                <w:rFonts w:ascii="Calibri" w:hAnsi="Calibri" w:cs="Calibri"/>
                <w:sz w:val="18"/>
                <w:szCs w:val="20"/>
              </w:rPr>
              <w:t>worked on the presentation.</w:t>
            </w:r>
          </w:p>
        </w:tc>
      </w:tr>
      <w:tr w:rsidR="00902F73" w:rsidRPr="009C3CDC" w:rsidTr="00F43B0C">
        <w:tc>
          <w:tcPr>
            <w:tcW w:w="1530" w:type="dxa"/>
          </w:tcPr>
          <w:p w:rsidR="00902F73" w:rsidRPr="009C3CDC" w:rsidRDefault="00902F73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Timing</w:t>
            </w:r>
          </w:p>
        </w:tc>
        <w:tc>
          <w:tcPr>
            <w:tcW w:w="810" w:type="dxa"/>
          </w:tcPr>
          <w:p w:rsidR="00902F73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Presentation and question and answer period filled the assigned time.</w:t>
            </w:r>
          </w:p>
        </w:tc>
        <w:tc>
          <w:tcPr>
            <w:tcW w:w="2914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Presentation and question and answer period are completed within a few minutes of assigned time.</w:t>
            </w:r>
          </w:p>
        </w:tc>
        <w:tc>
          <w:tcPr>
            <w:tcW w:w="3109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Presentation and question and answer period are completed within about five minutes of the assigned time.</w:t>
            </w:r>
          </w:p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011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Presentation and question and answer period are completed with more than five minutes remaining or are more than five minutes over the assigned time.</w:t>
            </w:r>
          </w:p>
        </w:tc>
      </w:tr>
      <w:tr w:rsidR="00902F73" w:rsidRPr="009C3CDC" w:rsidTr="00F43B0C">
        <w:tc>
          <w:tcPr>
            <w:tcW w:w="1530" w:type="dxa"/>
          </w:tcPr>
          <w:p w:rsidR="00902F73" w:rsidRPr="009C3CDC" w:rsidRDefault="00902F73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Visual Aid</w:t>
            </w:r>
            <w:r w:rsidR="000475EE">
              <w:rPr>
                <w:rFonts w:cstheme="minorHAnsi"/>
                <w:sz w:val="18"/>
                <w:szCs w:val="20"/>
              </w:rPr>
              <w:t xml:space="preserve"> (PowerPoint)</w:t>
            </w:r>
          </w:p>
        </w:tc>
        <w:tc>
          <w:tcPr>
            <w:tcW w:w="810" w:type="dxa"/>
          </w:tcPr>
          <w:p w:rsidR="00902F73" w:rsidRPr="009C3CDC" w:rsidRDefault="00741A90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Visual aids enhance the presentation. They are prepared in a professional manner. Font on visuals is large enough to be seen by all. Information is organized to maximize audience understanding. Details are minimized so that main points stand out.</w:t>
            </w:r>
          </w:p>
        </w:tc>
        <w:tc>
          <w:tcPr>
            <w:tcW w:w="2914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Visual aids contribute to the quality of the presentation. Font size is appropriate for reading. Appropriate information is included. Some material is not supported by visual aids.</w:t>
            </w:r>
          </w:p>
        </w:tc>
        <w:tc>
          <w:tcPr>
            <w:tcW w:w="3109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Visual aids are poorly prepared or used inappropriately. Font is too small to be easily seen. Too much information is included. Unimportant material is highlighted. Listeners may be confused.</w:t>
            </w:r>
          </w:p>
        </w:tc>
        <w:tc>
          <w:tcPr>
            <w:tcW w:w="3011" w:type="dxa"/>
          </w:tcPr>
          <w:p w:rsidR="00902F73" w:rsidRPr="009C3CDC" w:rsidRDefault="00902F73" w:rsidP="00105383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9C3CDC">
              <w:rPr>
                <w:rFonts w:ascii="Calibri" w:hAnsi="Calibri" w:cs="Calibri"/>
                <w:sz w:val="18"/>
                <w:szCs w:val="20"/>
              </w:rPr>
              <w:t>Visual aids are so poorly prepared that they detract from the presentation.</w:t>
            </w:r>
          </w:p>
        </w:tc>
      </w:tr>
      <w:tr w:rsidR="002C2E0C" w:rsidRPr="009C3CDC" w:rsidTr="00831F3A">
        <w:tc>
          <w:tcPr>
            <w:tcW w:w="1530" w:type="dxa"/>
          </w:tcPr>
          <w:p w:rsidR="00E05B5F" w:rsidRPr="009C3CDC" w:rsidRDefault="00F66B0B" w:rsidP="001054F1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Copies of articles and visual aid</w:t>
            </w:r>
          </w:p>
        </w:tc>
        <w:tc>
          <w:tcPr>
            <w:tcW w:w="810" w:type="dxa"/>
          </w:tcPr>
          <w:p w:rsidR="00E05B5F" w:rsidRPr="009C3CDC" w:rsidRDefault="00F66B0B" w:rsidP="0014294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E05B5F" w:rsidRPr="009C3CDC" w:rsidRDefault="00F66B0B" w:rsidP="00F66B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9C3CDC">
              <w:rPr>
                <w:rFonts w:asciiTheme="minorHAnsi" w:hAnsiTheme="minorHAnsi" w:cstheme="minorHAnsi"/>
                <w:sz w:val="18"/>
                <w:szCs w:val="20"/>
              </w:rPr>
              <w:t xml:space="preserve">Copies of the lay article, the primary literature and the visual aid file are submitted to the Professor </w:t>
            </w:r>
            <w:r w:rsidR="00625717">
              <w:rPr>
                <w:rFonts w:asciiTheme="minorHAnsi" w:hAnsiTheme="minorHAnsi" w:cstheme="minorHAnsi"/>
                <w:sz w:val="18"/>
                <w:szCs w:val="20"/>
              </w:rPr>
              <w:t xml:space="preserve">by 7pm the day </w:t>
            </w:r>
            <w:r w:rsidRPr="009C3CDC">
              <w:rPr>
                <w:rFonts w:asciiTheme="minorHAnsi" w:hAnsiTheme="minorHAnsi" w:cstheme="minorHAnsi"/>
                <w:sz w:val="18"/>
                <w:szCs w:val="20"/>
              </w:rPr>
              <w:t xml:space="preserve">before giving the presentation. </w:t>
            </w:r>
          </w:p>
        </w:tc>
        <w:tc>
          <w:tcPr>
            <w:tcW w:w="2914" w:type="dxa"/>
            <w:vAlign w:val="center"/>
          </w:tcPr>
          <w:p w:rsidR="00E05B5F" w:rsidRPr="009C3CDC" w:rsidRDefault="00831F3A" w:rsidP="00831F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</w:t>
            </w:r>
          </w:p>
        </w:tc>
        <w:tc>
          <w:tcPr>
            <w:tcW w:w="3109" w:type="dxa"/>
          </w:tcPr>
          <w:p w:rsidR="00E05B5F" w:rsidRPr="009C3CDC" w:rsidRDefault="00831F3A" w:rsidP="00B758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9C3CDC">
              <w:rPr>
                <w:rFonts w:asciiTheme="minorHAnsi" w:hAnsiTheme="minorHAnsi" w:cstheme="minorHAnsi"/>
                <w:sz w:val="18"/>
                <w:szCs w:val="20"/>
              </w:rPr>
              <w:t>Copies of the articl</w:t>
            </w:r>
            <w:r w:rsidR="00B7582F">
              <w:rPr>
                <w:rFonts w:asciiTheme="minorHAnsi" w:hAnsiTheme="minorHAnsi" w:cstheme="minorHAnsi"/>
                <w:sz w:val="18"/>
                <w:szCs w:val="20"/>
              </w:rPr>
              <w:t xml:space="preserve">es and visual aid are submitted after the deadline. </w:t>
            </w:r>
          </w:p>
        </w:tc>
        <w:tc>
          <w:tcPr>
            <w:tcW w:w="3011" w:type="dxa"/>
          </w:tcPr>
          <w:p w:rsidR="00E05B5F" w:rsidRPr="009C3CDC" w:rsidRDefault="00B7582F" w:rsidP="00B758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The group submits an incomplete set of files (e.g., not providing one of the articles or the visual aid).</w:t>
            </w:r>
          </w:p>
        </w:tc>
      </w:tr>
      <w:tr w:rsidR="00D338A7" w:rsidRPr="009C3CDC" w:rsidTr="00697136">
        <w:tc>
          <w:tcPr>
            <w:tcW w:w="14490" w:type="dxa"/>
            <w:gridSpan w:val="6"/>
          </w:tcPr>
          <w:p w:rsidR="00D338A7" w:rsidRPr="009C3CDC" w:rsidRDefault="00D338A7" w:rsidP="00105383">
            <w:pPr>
              <w:rPr>
                <w:rFonts w:ascii="Calibri" w:hAnsi="Calibri"/>
                <w:b/>
                <w:i/>
                <w:sz w:val="18"/>
                <w:szCs w:val="20"/>
              </w:rPr>
            </w:pPr>
            <w:r w:rsidRPr="009C3CDC">
              <w:rPr>
                <w:rFonts w:ascii="Calibri" w:hAnsi="Calibri"/>
                <w:b/>
                <w:i/>
                <w:sz w:val="18"/>
                <w:szCs w:val="20"/>
              </w:rPr>
              <w:t>Individual component:</w:t>
            </w:r>
          </w:p>
        </w:tc>
      </w:tr>
      <w:tr w:rsidR="00D338A7" w:rsidRPr="009C3CDC" w:rsidTr="00745155">
        <w:tc>
          <w:tcPr>
            <w:tcW w:w="1530" w:type="dxa"/>
          </w:tcPr>
          <w:p w:rsidR="00D338A7" w:rsidRPr="009C3CDC" w:rsidRDefault="00D338A7" w:rsidP="00105383">
            <w:pPr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Delivery</w:t>
            </w:r>
          </w:p>
        </w:tc>
        <w:tc>
          <w:tcPr>
            <w:tcW w:w="810" w:type="dxa"/>
          </w:tcPr>
          <w:p w:rsidR="00D338A7" w:rsidRPr="009C3CDC" w:rsidRDefault="00741A90" w:rsidP="0010538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C3CDC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3116" w:type="dxa"/>
          </w:tcPr>
          <w:p w:rsidR="00D338A7" w:rsidRPr="009C3CDC" w:rsidRDefault="00D338A7" w:rsidP="00105383">
            <w:pPr>
              <w:rPr>
                <w:rFonts w:ascii="Calibri" w:hAnsi="Calibri"/>
                <w:sz w:val="18"/>
                <w:szCs w:val="20"/>
              </w:rPr>
            </w:pPr>
            <w:r w:rsidRPr="009C3CDC">
              <w:rPr>
                <w:rFonts w:ascii="Calibri" w:hAnsi="Calibri"/>
                <w:sz w:val="18"/>
                <w:szCs w:val="20"/>
              </w:rPr>
              <w:t xml:space="preserve">Delivery techniques (posture, gesture, eye contact, and vocal expressiveness) make the presentation compelling. Speaker appears polished and confident in giving presentation and answering questions. </w:t>
            </w:r>
          </w:p>
        </w:tc>
        <w:tc>
          <w:tcPr>
            <w:tcW w:w="2914" w:type="dxa"/>
          </w:tcPr>
          <w:p w:rsidR="00D338A7" w:rsidRPr="009C3CDC" w:rsidRDefault="00D338A7" w:rsidP="00105383">
            <w:pPr>
              <w:rPr>
                <w:rFonts w:ascii="Calibri" w:hAnsi="Calibri"/>
                <w:sz w:val="18"/>
                <w:szCs w:val="20"/>
              </w:rPr>
            </w:pPr>
            <w:r w:rsidRPr="009C3CDC">
              <w:rPr>
                <w:rFonts w:ascii="Calibri" w:hAnsi="Calibri"/>
                <w:sz w:val="18"/>
                <w:szCs w:val="20"/>
              </w:rPr>
              <w:t>Delivery techniques (posture, gesture, eye contact, and vocal expressiveness) make the presentation interesting. Speaker appears comfortable in giving presentation and/or answering questions.</w:t>
            </w:r>
          </w:p>
        </w:tc>
        <w:tc>
          <w:tcPr>
            <w:tcW w:w="3109" w:type="dxa"/>
          </w:tcPr>
          <w:p w:rsidR="00D338A7" w:rsidRPr="009C3CDC" w:rsidRDefault="00D338A7" w:rsidP="00105383">
            <w:pPr>
              <w:rPr>
                <w:rFonts w:ascii="Calibri" w:hAnsi="Calibri"/>
                <w:sz w:val="18"/>
                <w:szCs w:val="20"/>
              </w:rPr>
            </w:pPr>
            <w:r w:rsidRPr="009C3CDC">
              <w:rPr>
                <w:rFonts w:ascii="Calibri" w:hAnsi="Calibri"/>
                <w:sz w:val="18"/>
                <w:szCs w:val="20"/>
              </w:rPr>
              <w:t>Delivery techniques (posture, gesture, eye contact, and vocal expressiveness) make the presentation understandable. Speaker appears tentative in giving presentation and/or answering questions.</w:t>
            </w:r>
          </w:p>
        </w:tc>
        <w:tc>
          <w:tcPr>
            <w:tcW w:w="3011" w:type="dxa"/>
          </w:tcPr>
          <w:p w:rsidR="00D338A7" w:rsidRPr="009C3CDC" w:rsidRDefault="00D338A7" w:rsidP="00105383">
            <w:pPr>
              <w:rPr>
                <w:rFonts w:ascii="Calibri" w:hAnsi="Calibri"/>
                <w:sz w:val="18"/>
                <w:szCs w:val="20"/>
              </w:rPr>
            </w:pPr>
            <w:r w:rsidRPr="009C3CDC">
              <w:rPr>
                <w:rFonts w:ascii="Calibri" w:hAnsi="Calibri"/>
                <w:sz w:val="18"/>
                <w:szCs w:val="20"/>
              </w:rPr>
              <w:t>Delivery techniques (posture, gesture, eye contact, and vocal expressiveness) detract from the understandability of the presentation. Speaker appears uncomfortable in giving presentation and/or answering questions.</w:t>
            </w:r>
          </w:p>
        </w:tc>
      </w:tr>
    </w:tbl>
    <w:p w:rsidR="00695738" w:rsidRPr="002C2E0C" w:rsidRDefault="00695738">
      <w:pPr>
        <w:rPr>
          <w:sz w:val="6"/>
        </w:rPr>
      </w:pPr>
    </w:p>
    <w:sectPr w:rsidR="00695738" w:rsidRPr="002C2E0C" w:rsidSect="00460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4B1D"/>
    <w:multiLevelType w:val="hybridMultilevel"/>
    <w:tmpl w:val="BF40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4242"/>
    <w:multiLevelType w:val="hybridMultilevel"/>
    <w:tmpl w:val="54F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81"/>
    <w:rsid w:val="00023124"/>
    <w:rsid w:val="0003385F"/>
    <w:rsid w:val="00045163"/>
    <w:rsid w:val="000475EE"/>
    <w:rsid w:val="000A7EBB"/>
    <w:rsid w:val="000B42FC"/>
    <w:rsid w:val="000D0A7A"/>
    <w:rsid w:val="001054F1"/>
    <w:rsid w:val="00142940"/>
    <w:rsid w:val="00164460"/>
    <w:rsid w:val="00173504"/>
    <w:rsid w:val="00226E9B"/>
    <w:rsid w:val="00234476"/>
    <w:rsid w:val="002878EF"/>
    <w:rsid w:val="002A4864"/>
    <w:rsid w:val="002C2E0C"/>
    <w:rsid w:val="002D5E5D"/>
    <w:rsid w:val="003306C1"/>
    <w:rsid w:val="003A2FD2"/>
    <w:rsid w:val="003D0586"/>
    <w:rsid w:val="00400B61"/>
    <w:rsid w:val="00416629"/>
    <w:rsid w:val="00425E0D"/>
    <w:rsid w:val="0046016B"/>
    <w:rsid w:val="004D4E2C"/>
    <w:rsid w:val="004E1A57"/>
    <w:rsid w:val="00530C70"/>
    <w:rsid w:val="005315D6"/>
    <w:rsid w:val="00543E4F"/>
    <w:rsid w:val="005C600A"/>
    <w:rsid w:val="006064F0"/>
    <w:rsid w:val="00625717"/>
    <w:rsid w:val="00695738"/>
    <w:rsid w:val="00741A90"/>
    <w:rsid w:val="007B688E"/>
    <w:rsid w:val="007D313C"/>
    <w:rsid w:val="007E1007"/>
    <w:rsid w:val="007E1920"/>
    <w:rsid w:val="00831F3A"/>
    <w:rsid w:val="00902F73"/>
    <w:rsid w:val="00997F8A"/>
    <w:rsid w:val="009C24E3"/>
    <w:rsid w:val="009C3CDC"/>
    <w:rsid w:val="00A0711E"/>
    <w:rsid w:val="00A6635A"/>
    <w:rsid w:val="00AC5A09"/>
    <w:rsid w:val="00AE531E"/>
    <w:rsid w:val="00B54881"/>
    <w:rsid w:val="00B7582F"/>
    <w:rsid w:val="00BA2D2B"/>
    <w:rsid w:val="00BB417D"/>
    <w:rsid w:val="00BC12A7"/>
    <w:rsid w:val="00BD37A3"/>
    <w:rsid w:val="00BD5B44"/>
    <w:rsid w:val="00C35DF9"/>
    <w:rsid w:val="00C81228"/>
    <w:rsid w:val="00CA147F"/>
    <w:rsid w:val="00D338A7"/>
    <w:rsid w:val="00D5439F"/>
    <w:rsid w:val="00D57E56"/>
    <w:rsid w:val="00E02502"/>
    <w:rsid w:val="00E05B5F"/>
    <w:rsid w:val="00E55739"/>
    <w:rsid w:val="00E56EA2"/>
    <w:rsid w:val="00EC5D5C"/>
    <w:rsid w:val="00EE660A"/>
    <w:rsid w:val="00EE6EC4"/>
    <w:rsid w:val="00F20AB1"/>
    <w:rsid w:val="00F379AC"/>
    <w:rsid w:val="00F43B0C"/>
    <w:rsid w:val="00F66B0B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74DA1-67E0-4B89-B4AF-934D9B6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7A3"/>
    <w:pPr>
      <w:ind w:left="720"/>
      <w:contextualSpacing/>
    </w:pPr>
  </w:style>
  <w:style w:type="paragraph" w:customStyle="1" w:styleId="Default">
    <w:name w:val="Default"/>
    <w:rsid w:val="00902F73"/>
    <w:pPr>
      <w:autoSpaceDE w:val="0"/>
      <w:autoSpaceDN w:val="0"/>
      <w:adjustRightInd w:val="0"/>
      <w:spacing w:after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12E608-925B-4F0A-842C-47B83D1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Massa, Ph.D., Laura J.</cp:lastModifiedBy>
  <cp:revision>3</cp:revision>
  <cp:lastPrinted>2017-01-03T23:14:00Z</cp:lastPrinted>
  <dcterms:created xsi:type="dcterms:W3CDTF">2017-01-05T21:44:00Z</dcterms:created>
  <dcterms:modified xsi:type="dcterms:W3CDTF">2017-01-05T21:46:00Z</dcterms:modified>
</cp:coreProperties>
</file>